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23.04.2021 в удовлетворении заявления отказано. Постановлением Девятого арбитражного апелляционного суда 03.08.2021, оставленным без изменения постановлением Арбитражный суд Московского округа от 02.12.2021, определение от 23.04.2021 отменено, заявление удовлетворено. В кассационной жалобе Шарапов В.Г. просит об отмене судебных актов апелляционного и окружного судов, ссылаясь на несоответствие их выводов обстоятельствам данного и ранее рассмотренного споров.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безвозмездную сделку, совершенную должником в пользу сына в условиях наличия неоплаченного присужденного долга, не соответствующей пункту 2 статьи 61.2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Шарапову Валерию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