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14.04.2020 в удовлетворении иска отказано. Определением Арбитражного суда города Санкт-Петербурга и Ленинградской области от 18.02.2021, оставленным без изменения постановлением Тринадцатого арбитражного апелляционного суда от 21.06.2021 и постановлением Арбитражного суда Северо-Западного округа от 17.11.2021, в удовлетворении заявления фонда о пересмотре по вновь открывшимся обстоятельствам решения от 14.04.2020 отказано. В кассационной жалобе фонд просит о пересмотре указанных судебных актов, ссылаясь на рассмотрение дела с участием ненадлежащего представителя истца и в отношении незаявленного требования, являющееся безусловным основанием к отмене решения.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 и нормы права, на которые ссылается фонд в обоснование пересмотра решения, не создают оснований для применения части 2 статьи 311 Арбитражного процессуального кодекса Российской Федерации, на что правильно указали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Фонду сохранения и развития классического балета имени Олега Виноградова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