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15.01.2021, оставленным без изменения постановлением Седьмого арбитражного апелляционного суда от 27.05.2021 и постановлением Арбитражного суда Западно-Сибирского округа от 25.10.2021, заявление удовлетворено. 2 В кассационной жалобе Голубева Г.П. просит об отмене судебных актов, ссылаясь на добросовестное приобретение квартиры, на которое не распространяются обстоятельства, составляющие условия недействительности сделок должника, и применение незаконных последствий недействительности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должником в период подозрительности и наличия неисполненных обязательств цепочки сделок по отчуждению недвижимого имущества за неравноценное встречное предоставление с лицами, связанными с должником и осведомленными о действительной стоимости недвижимости, в результате которых из конкурсной массы выведено ликвидное имущество и причинен вред кредиторам, что в силу статей 61.2, 213.32 Федерального закона от 26.10.2002 № 127-ФЗ «О несостоятельности (банкротстве)» и статьи 170 Гражданского кодекса Российской Федерации создает условия для недействительности сделок. Довод подателя жалобы о применении ненадлежащих последствий недействительности договора противоречит статье 1080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Голубевой Г.П.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