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11.01.2021 заявление удовлетворено. Второй арбитражный апелляционный суд постановлением от 27.07.2021 определение от 11.01.2021 отменил, в удовлетворении заявления отказал. Арбитражный суд Волго-Вятского округа постановлением от 29.10.2021 постановление апелляционного суда от 27.07.2021 оставил без изменения. В кассационной жалобе Копытов С.В. просит об отмене судебных актов апелляционного и окружного судов, ссылаясь на ошибочность и несоответствие судебной практике выводов судов.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наличие у семьи должника иного, кроме спорной квартиры, жилого помещения для проживания, исключающее в ситуации неисполнения обязательств перед кредиторами придание этой квартире исполнительского иммунитета. Выводы суда соответствуют статье 446 Гражданского процессуального кодекса Российской Федерации, статье 213.25 Федерального закона от 26.10.2002 № 127-ФЗ «О несостоятельности (банкротстве)», их толкованию и применению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Копытову С.В.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