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30.08.2021 удовлетворено ходатайство ООО «Дальэнергогаз» о замене истца по первоначальному иску на его правопреемника ООО «ЖКЧ». Постановлением Шестого арбитражного апелляционного суда от 02.11.2021 определение суда первой инстанции о процессуальном правопреемстве отменено, в удовлетворении заявления отказано. 2 Арбитражный суд Дальневосточного округа постановлением от 23.12.2021 постановление суда апелляционной инстанции оставил без изменения. В кассационных жалобах, поданных в Верховный Суд Российской Федерации, заявители, ссылаясь на существенные нарушения норм материального и процессуального права, просят отменить постановления судов апелляционной инстанции и округа, оставить в силе определение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«Дальэнергогаз» в обоснование ходатайства о замене истца по делу на ООО «ЖКЧ» указало на заключение договора уступки права требования (цессии) между ООО «Дальэнергогаз» (цедент) и ООО «ЖКЧ» (цессионарий). Разрешая вопрос о процессуальном правопреемстве, суд первой инстанции, пришел к выводу о наличии оснований для его удовлетворения. Отменяя определение суда первой инстанции, суд апелляционной инстанции, оценив представленные доказательства, руководствуясь положениями статей 10, 167, 168, 382, 388 Гражданского кодекса Российской Федерации, статей 2, 23, 45 Налогового кодекса Российской Федерации, разъяснениями Пленума Верховного Суда Российской Федерации, изложенными в пунктах 7, 75 постановления от 23.06.2015 № 25 «О применении судами некоторых положений раздела I части первой Гражданского кодекса Российской Федерации», пункте 10 постановления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не усмотрел оснований для удовлетворения заявления о процессуальном правопреемстве истца по первоначальному иску. Суд апелляционной инстанции исходил из того, что действия по уступке праве требования совершены в обход закона с противоправной целью и злоупотреблением правом. При исследовании обстоятельств дела установлено, что муниципальным контрактом, заключенным учреждением и ООО «Дальэнергогаз», установлен запрет на уступку требования оплаты за выполненные работы без получения на 3 это согласия заказчика; действия участников договора цессии направлены на придание вида правомерности уступки требования дебиторской задолженности с целью исключить последующее обращение взыскания налоговым органом на денежные средства и имущественные права ООО «Дальэнергогаз». Суд округа поддержал выводы суда апелляционной инстанции. Доводы заявителей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Несогласие с выводами судов, иная оценка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«Дальэнергогаз» и обществу с ограниченной ответственностью «ЖКЧ»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