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15.04.2021, оставленным без изменения постановлением Девятого арбитражного апелляционного суда от 09.07.2021 и постановлением Арбитражного суда Московского округа от 09.11.2021, иск удовлетворен в части взыскания с АО «Концерн «Системпром» в пользу Минобороны России 461 760 649 руб. 04 коп. неотработанного аванса и расторжении государственного контракта, в удовлетворении остальной части иска отказано. В кассационной жалобе АО «Концерн «Системпром», ссылаясь на нарушение норм материального и процессуального права, просит обжалуемые 2 судебные акты отменить в части расторжения государственного контракта и взыскания суммы неотработанного аванса в размере 461 760 649 руб. 04 коп., принять по делу новый судебный акт об отказе в удовлетворении исковых требований Минобороны России в полном объеме. В соответствии с пунктом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ее передаче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Минобороны России (заказчик) и АО «Концерн «Системпром» (исполнитель) заключили государственный контракт от 16.05.2011 на выполнение опытно-конструкторской работы «Сцепка-Бройлер» для нужд Минобороны России в 2011 году. Работы должны были быть выполнены в 7 этапов, сроки выполнения – с 11.05.2011 по 30.09.2014. Пунктом 14.7 контракта предусмотрено, что в случае принятия заказчиком решения о нецелесообразности продолжения или об утрате актуальности работ, стороны считают контракт расторгнутым по соглашению сторон со дня принятия такого решения. В счет оплаты работ истец перечислил ответчику 1 969 720 000 руб. 00 коп., работы исполнены на сумму 1 507 959 350 руб. 96 коп.: этапы 1 и 2 выполнены, сроки выполнения 3 и 4 этапов работ нарушены в связи с невыполнением договорных обязательств соисполнителями, один из которых признан банкротом, вследствие чего 07.08.2015 заказчиком принято решение о прекращении опытно-конструкторских работ. Решение мотивировано неспособностью головного исполнителя и предприятий кооперации завершить работы в 2015-2016 годах. В ответ на направленное Минобороны России соглашение о расторжении контракта, ответчик письмом от 13.09.2018 уведомил об отказе в его подписании, в связи с чем министерство обратилось в суд. 3 Удовлетворяя требование о расторжении контракта, суды руководствовались положениями статей 431, 453 Гражданского кодекса Российской Федерации, приняв во внимание, что решение о нецелесообразности продолжения или об утрате актуальности работ, предусмотренное пунктом 14.7 контракта, не принималось. Исследовав и оценив представленные доказательства, выяснив все обстоятельства дела, судами также удовлетворено требование о взыскании суммы неотработанного аванса на основании статьи 1102 Гражданского кодекса Российской Федерации. Отказывая в удовлетворении требования о взыскании процентов за пользование чужими денежными средствами, суды исходили из пропуска срока исковой давности за период с 27.03.2013 по 09.04.2017, а также отсутствия оснований для их начисления. Доводы жалобы о пропуске истцом срока исковой давности в части требования о расторжении контракта и взыскания суммы неотработанного аванса были рассмотрены судами и мотивированно отклонены. Иное толкование обществом норм материального права не свидетельствует о неправильном применении их судами, выводы судов сформулированы с учетом юридически значимых обстоятельств дела, полно и всесторонне изученных в судебном разбирательстве и получивших надлежащую правовую квалификацию. Выводы судов об отсутствии факта пропуска срока исковой давности по требованию о взыскании суммы неотработанного аванса являются правомерными, поскольку такое право в рассматриваемом случае могло возникнуть не ранее прекращения обязательств сторон контракта в установленном законом порядке. Доводы жалобы о нарушении судами принципа преюдиции ранее состоявшихся судебных актов по спорам между теми же лицами не нашли своего подтверждения. Приведенные в жалобе доводы о том, что контракт прекращен 07.08.2015, а также иные доводы, направленные на переоценку доказательств по делу, не опровергают выводы судов, не подтверждают существенных нарушений судами норм материального и (или) процессуального права, повлиявших на исход дела, и не являются достаточным основанием для пересмотра обжалуемых судебных актов в кассационном порядке в силу статей 2916, 29111 Арбитражного процессуального кодекса Российской Федерации. Руководствуясь статьями 2916, 2918 Арбитражного процессуального кодекса Российской Федерации, судья Верховного Суда Российской Федерации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«Концерн «Системпром»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