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11.06.2021 в удовлетворении исковых требований отказано. Постановлением Тринадцатого арбитражного апелляционного суда от 14.09.2021 решение суда первой инстанции отменено, исковые требования удовлетворены. 2 Постановлением Арбитражного суда Северо-Западного округа от 16.12.2021 постановление суда апелляционной инстанции отменено, решение суда первой инстанции оставлено в силе. В кассационной жалобе, поданной в Верховный Суд Российской Федерации, общество, ссылаясь на нарушение судами первой инстанции и округа норм права, несоответствие их выводов фактическим обстоятельствам дела, просит отменить решение от 11.06.2021, постановление от 16.12.2021 и оставить в силе постановление суда апелляционной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исковые требования общества (поставщик) мотивированы тем, что компания (заказчик) полностью не оплатила продукцию, поставленную по договору поставки от 28.08.2019 № 1219187312392020128002697/181, заключенному между сторонами во исполнение государственного контракта от 25.12.2012 № 1219187312392020128002697/3/2/3/06-12-ДГОЗ.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309, 310, 327.1, 421, 506, 516 Гражданского кодекса Российской Федерации, положениями Федерального закона от 29.12.2012 № 275-ФЗ «О государственном оборонном заказе», установив, что условия исполнения заказчиком обязанности по оплате продукции не наступили, суд первой инстанции пришел к выводу об отсутствии оснований для удовлетворения исковых требований. Суд округа поддержал выводы суда первой инстанции, признав их соответствующими установленным фактическим обстоятельствам дела и имеющимся в деле доказательствам, основанными на правильном применении норм материального и процессуального права. Иное толкование заявителем норм законодательства, регулирующих спорные правоотношения, применительно к установленным фактическим обстоятельствам дела не влечет необходимость пересмотра обжалуемых судебных актов в кассационном порядке в силу статьи 291.6 Арбитражного процессуального кодекса Российской Федерации. Поскольку доводы заявителя не подтверждают существенных нарушений норм материального и (или) процессуального права, повлиявших на исход дела, оснований для передачи кассационной жалобы на рассмотрение в судебном 3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«НПК МорСвязьАвтоматика»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