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20.05.2021, оставленным без изменения постановлением Девятого арбитражного апелляционного суда от 09.08.2021, в удовлетворении заявленных требований отказано. Постановлением Арбитражного суда Московского округа от 23.11.2021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указанные судебные акты отменить, ссылаясь на допущенные судами существенные нарушения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установленный таможенным органом факт ввоза заявителем продовольственных товаров, включенных в Перечень товаров, запрещенных к ввозу на территорию Российской Федерации, утвержденный постановлением Правительства Российской Федерации от 07.08.2014 № 778 «О мерах по реализации Указов Президента Российской Федерации от 06 августа 2014 года № 560, от 24 июня 2015 года № 320, от 29 июня 2016 года № 305, от 3 30 июня 2017 года № 293, от 12 июля 2018 года № 420» (далее – постановление Правительства РФ № 778). Статьей 16.3 Кодекса Российской Федерации об административных правонарушениях (далее — КоАП РФ)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Оценив представленные в материалы дела доказательства, руководствуясь положениями Таможенного кодекса ЕАЭС, постановления Правительства РФ № 778, принимая во внимание вступившее в законную силу решение Арбитражного суда города Москвы от 04.12.2020 по делу № А40-312572/19, а также постановление Пленума Верховного Суда Российской Федерации от 24.10.2006 № 18 «О некоторых вопросах, возникающих у судов при применении Особенной части Кодекса Российской Федерации об административных правонарушениях», установив, что ввезенные в Российскую Федерацию спорные товары, соответствующие товарной подсубпозиции 2106 90 980 9 ТН ВЭД ЕАЭС, страна происхождения Бельгия (Европейский союз), включены в Перечень запрещенной продукции, суды пришли к выводу о наличии в действиях общества состава административного правонарушения, ответственность за которое установлена статьей 16.3 КоАП РФ. Судами также установлено, что процедура и срок давности привлечения к административной ответственности соблюдены, штраф назначен в пределах санкции нормы, оснований для применения статьи 2.9 КоАП РФ не выявлено. 4 Доводы жалобы относительно неверной квалификации вмененного правонарушения были предметом исследования судов и получили исчерпывающую правовую оценку. Несогласие общества с установленными судами фактическими обстоятельствами дела, оценкой доказательств, а также попытки иного толкования положений действующего законодательства выводы судов не опровергают и в силу статьи 2916 Арбитражного процессуального кодекса Российской Федерации не свидетельствуют о наличии оснований для пересмотра обжалуемых судебных актов в порядке кассационного производства. Существенных нарушений норм материального права и (или) норм процессуального права судами не допущено.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