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25.06.2021, оставленным без изменения постановлением Девятого арбитражного апелляционного суда от 15.09.2021, исковые требования удовлетворены. Арбитражный суд Московского округа постановлением от 22.12.2021 отменил решение суда первой инстанции, постановление суда апелляционной инстанции в части взыскания 53 009 149 руб. 24 коп. пеней и направил дело в указанной части на новое рассмотрение в Арбитражный суд города Москвы; в остальной части оставил судебные акты без изменения.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в части взыскания с ответчика пеней и направляя дело в отмененной части на новое рассмотрение, суд округа указал на необходимость дополнительного исследования доказательств с целью правильного применения норм права. При новом рассмотрении заявитель не лишен возможности изложить свои доводы со ссылками на нормы права, сложившуюся судебную арбитражную практику и имеющиеся в деле доказательства, поскольку дело в обжалуемой части направлено судом округа на новое рассмотрение, а спорный вопрос не был окончательно разрешен. С учетом изложенного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«Стротэкс-консалтинг»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"СТРОТЭКС-КОНСАЛТИНГ" (подробнее) Ответчики: ООО "Компания "ГС-Резерв"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