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25.01.2019 иск удовлетворен. Кредитор общества - компания в порядке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обратилась в Тринадцатый арбитражный апелляционный суд с апелляционной жалобой на решение суда первой инстанции. Постановлением Тринадцатого арбитражного апелляционного суда от 17.09.2021 решение суда первой инстанции оставлено без изменения. Постановлением Арбитражного суда Северо-Западного округа от 14.12.2021 решение суда первой инстанции и постановление суда апелляционной инстанции оставлены без изменения. 2 В кассационной жалобе, поданной в Верховный Суд Российской Федерации, компания, ссылаясь на нарушение судом норм права, просит отменить постановление суда округа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Как следует из судебных актов, исковые требования водоканала мотивированы наличием у общества задолженности по заключенным сторонами договорам от 02.05.2011 № 04-АТ11, от 01.01.2013 № 8-АТ-13, от 31.12.2013 № 16-ММ-13, от 01.09.2014 № 16/14, от 01.01.2012 № 19-АТ-12. Удовлетворяя исковые требования, суд первой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 из подтвержденности факта выполнения водоканалом договорных обязательств и наличия у общества задолженности по оплате оказанных услуг и предоставленной в аренду техники в заявленном размере. При этом суд отклонил доводы общества о пропуске срока исковой давности, указав на подписание сторонами сделок акта сверки от 30.09.2015. Суды апелляционной инстанции и округа согласились с выводами суда первой инстанции, отклонив доводы заявителя, в том числе о мнимости спорных договоров. Изложенные в кассационной жалобе доводы были предметом рассмотрения судов и получили правовую оценку, не опровергают выводы судов,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«Петербургская оценочная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