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«Менеджмент Групп»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«Строительно-монтажное управление 18» (далее – управление) о взыскании 11 863 493 руб. задолженности по договору услуг от 20.07.2020 № 20/07/2020-11А и 1 471 073 руб. 13 коп. пеней. К участию в деле в качестве третьего лица, не заявляющего самостоятельных требований относительно предмета спора, привлечено акционерное общество коммерческий банк «Русский Народный Банк» (далее – банк). Решением Арбитражного суда города Москвы от 07.12.2020 исковые требования удовлетворены. Девятый арбитражный апелляционный суд определением от 08.06.2021 перешел к рассмотрению дела по правилам суда первой инстанции, привлек к участию в деле в качестве третьего лица, не заявляющего самостоятельных 2 требований относительно предмета спора, индивидуального предпринимателя Комарова Кирилла Николаевича. Постановлением Девятого арбитражного апелляционного суда от 14.09.2021 решение суда первой инстанции отменено, исковые требования удовлетворены. Арбитражный суд Московского округа постановлением от 08.12.2021 оставил без изменения постановление суда апелляционной инстанции. В кассационной жалобе, поданной в Верховный Суд Российской Федерации, общество просит отменить постановления судов апелляционной инстанции и округа как принятые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протолковав условия заключенного сторонами договора по правилам статьи 431 Гражданского кодекса Российской Федерации, установив, что обществом совершены предварительные действия консультационного характера и подбор кредитных организаций, оформлена заявка в банк за подписью генерального директора управления от 21.07.2020, принимая во внимание письмо банка от 13.10.2020 исх. № 2540/1-5, согласно которому положительное решение по выдаче банковской гарантии было принято в период с 21 по 28 июля 2020 года на основании полного пакета документов, направленного и сформированного обществом, суд апелляционной инстанции признал подтвержденным факт оказания обществом услуг по договору. Учитывая отсутствие доказательств направления управлением мотивированного отказа от принятия оказанных услуг, а также переписки сторон по вопросу ненадлежащего оказания услуг, как и доказательств их оплаты в полном объеме, руководствуясь статьями 309, 310, 330, 421, 783 Гражданского кодекса Российской Федерации, суд пришел к выводу о наличии оснований для удовлетворения исковых требований, с чем впоследствии согласился суд округа.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3 обжалуемых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«Строительно-монтажное управление 18»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