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27.12.2019, оставленным без изменения постановлением Шестнадцатого арбитражного апелляционного суда от 08.10.2020, заявленные требования удовлетворены. 2 Постановлением Арбитражного суда Северо-Кавказского округа от 05.02.2021 указанные судебные акты отменены, дело направлено на новое рассмотрение в суд первой инстанции. Решением Арбитражного суда Ставропольского края от 11.05.2021, оставленным без изменения постановлением Шестнадцатого арбитражного апелляционного суда от 03.08.2021, в удовлетворении заявленных требований отказано. Постановлением Арбитражного суда Северо-Кавказского округа от 12.11.2021 решение суда первой инстанции от 11.05.2021 и постановление суда апелляционной инстанции от 03.08.2021 оставлены без изменения. Предприниматель в кассационной жалобе просит принятые при новом рассмотрении дела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на двух АЗС требований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к автомобильному топливу.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3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доказательства, руководствуясь положениями Федерального закона от 27.12.2002 № 184-ФЗ «О техническом регулировании», Технического регламента Таможенного союза 013/2011, суды признали доказанным наличие в действиях предпринимателя составов административных правонарушений, ответственность за совершение которых предусмотрена частью 2 статьи 14.43.1 Кодекса Российской Федерации об административных правонарушениях. Вина в совершении правонарушений установлена, процедура и срок давности привлечения к административной ответственности соблюдены. Приведенные в кассационной жалобе доводы со ссылкой на нарушение порядка оценки результатов испытаний и процедуры привлечения к ответственности, являлись предметом исследования судов и получили исчерпывающую правовую оценку в соответствующих судебных актах, не согласиться с которой оснований не имеется. Суды не установили основания для применения статей 2.9, 4.1, 4.1.1 Кодекса Российской Федерации об административных правонарушениях. Порядок и механизм расчета назначенного наказания в виде административного штрафа, а также его размер предприниматель не оспаривает. При установленных обстоятельствах, с учетом принципа правовой определенности,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