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15.03.2021, оставленным без изменения постановлением Тринадцатого арбитражного апелляционного суда от 11.07.2021, в иске отказано. Постановлением Арбитражного суда Северо-Западного округа от 12.11.2021 указанные судебные акты оставлены без изменения. 2 Общество просит отменить обжалуемые судебные акты,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Оценив представленные доказательства, руководствуясь положениями статей 309, 310, 450, 523 Гражданского кодекса Российской Федерации,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в иске отказали, признав правомерным решение заказчика об одностороннем отказе от исполнения контракта, установив факт поставки оборудования с нарушением сроков и требований аукционной документации. Доводы жалобы были предметом исследования судов и получили исчерпывающую правовую оценку в обжалуемых судебных актах, с учетом установленных обстоятельств, свидетельствующих, что общество как поставщик не устранило нарушения ни в части комплектности товара, ни в части соответствия техническим характеристикам оборудования. Ссылка заявителя на нарушение судом округа норм процессуального законодательства в связи с приобщением к материалам дела дополнительного доказательства не могут служить основанием для отмены судебных актов в отсутствие доказательств, свидетельствующих о том, как данные действия повлияли на принятие судебного акта. 3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