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12.04.2021, оставленным без изменения постановлениями Первого арбитражного апелляционного суда от 20.07.2021 и Арбитражного суда Волго-Вятского округа от 29.11.2021, в удовлетворении заявления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рамках исполнительного производства № 29462/19/52009-ИП, возбужденного в отношении ООО «УК «Нижегородский дом» (должник), судебным приставом-исполнителем наложен арест на принадлежащий должнику автомобиль, для оценки арестованного имущества привлечен специалист-оценщик ООО «ОценкаСтройКонсалтинг-ДВ». Согласно отчету об оценке рыночная стоимость автомобиля составила 1 478 000 рублей. Постановлением от 08.09.2020 судебный пристав-исполнитель принял результат оценки, отраженный в отчете. Не согласившись с постановлением судебного пристава-исполнителя о принятии результатов оценки, а также с отчетом об оценке, общество обратилось в арбитражный суд. Отказывая в удовлетворении заявления, суды, исследовав и оценив представленные в материалы дела доказательства, руководствуясь положениями статей 12, 13 Федерального закона от 21.07.1997 № 118-ФЗ «Об органах принудительного исполнения Российской Федерации», статей 1, 4, 5, 61, 64, 85 Федерального закона от 02.10.2007 № 229-ФЗ «Об исполнительном производстве», статей 11, 13, 20 Федерального закона от 29.07.1998 № 135-ФЗ «Об оценочной деятельности в Российской Федерации», Федеральным стандартом оценки «Общие понятия оценки, подходы и требования к проведению оценки (ФСО № 1)», утвержденным приказом Министерства экономического развития Российской Федерации от 20.05.2015 № 297, 3 Федеральным стандартом оценки «Требования к отчету об оценке (ФСО № 3)», утвержденным приказом Министерства экономического развития Российской Федерации от 20.05.2015 № 299, разъяснениями Пленума Верховного Суда Российской Федерации, изложенными в постановлении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об отсутствии оснований для удовлетворения заявленных требований. При этом судебные инстанции исходили из того, что спорный отчет об оценке является достоверным, соответствует требованиям законодательства об оценочной деятельности, в связи с чем обоснованно принят судебным приставом-исполнителем в качестве основания для вынесения оспариваемого постановления. Приведенные в кассационной жалобе доводы повторяют правовую позицию заявителя по спору,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«Нижегородский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