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22.04.2021, оставленным без изменения постановлением Седьмого арбитражного апелляционного суда от 20.07.2021, иск удовлетворен частично, с Российской Федерации в лице Министерства внутренних дел Российской Федерации за счет 2 средств казны Российской Федерации в пользу общества взыскано 30 000 рублей убытков, в удовлетворении остальной части иска отказано. Постановлением Арбитражного суда Западно-Сибирского округа от 18.11.2021 указанные судебные акты отменены, в иске отказано. В кассационной жалобе, поступившей в Верховный Суд Российской Федерации, общество просит отменить постановление суда округа, оставить в силе решение суда первой инстанции и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ее передачи для рассмотрения в судебном заседании Судебной коллегии по экономическим спорам Верховного Суда Российской Федерации не установлено. Суд округа, руководствуясь положениями статей 15, 16, 1064, 1069 Гражданского кодекса Российской Федерации, статей 25.1, 25.5 Кодекса Российской Федерации об административных правонарушениях, отменил решение суда первой инстанции и постановление суда апелляционной инстанции, в иске отказал, признав, что при рассмотрении требований общества о взыскании убытков, суды не учли правовую позицию, изложенную в пункте 26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3 правонарушениях», в отсутствие доказательств того, что лицо произвело спорные расходы для устранения неблагоприятных последствий незаконного административного преследования и восстановления нарушенного права. Указанные выводы суда округа в жалобе не опровергнуты. Доводы жалобы о том, что дело об административном правонарушении считается возбужденным с момента вынесения определения об истребовании сведений о собственнике транспортного средства, выводы судов не опровергают с учетом разъяснений, изложенных в абзаце 5 пункта 26 Постановления Пленума Верховного Суда РФ от 25.06.2019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