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11.02.2021, оставленным без изменения постановлением Тринадцатого арбитражного апелляционного суда от 11.05.2021 и постановлением Арбитражного суда Северо-Западного округа от 10.11.2021, с компании в пользу общества взыскано 50 000 руб. задолженности, 2224 руб. расходов на оплату услуг представителя, 1333 руб.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2 по делу новый судебный акт об удовлетворении исковых требований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мотивированы неисполнением компанией (заказчик) обязательств по оплате работ, выполненных компанией (подрядчик) по договору подряда от 01.07.2019 № СМР/0107 (далее – договор). Исследовав и оценив по правилам статьи 71 Арбитражного процессуального кодекса Российской Федерации имеющиеся в материалах дела доказательства, суды первой и апелляционной инстанций установили, что в подтверждение факта выполнения работ по договору стоимостью 500 000 руб. общество представило акты выполненных работ, в которых имеется ссылка на выполнение подрядчиком работ с использованием материалов заказчика, что также подтверждено накладными на отпуск материалов, при этом в названных актах не отражены объем и стоимость выполненных работ. Принимая во внимание условия договора, предусматривающие использование подрядчиком при производстве работ материалов заказчика с уменьшением стоимости этих работ на стоимость предоставленных подрядчику материалов, а также выставленный подрядчиком заказчику счет на оплату выполненных по договору работ на сумму 100 000 руб., которую и обязался оплатить последний в гарантийном письме, но исполнил эту обязанность частично, перечислив подрядчику 50 000 руб., учитывая отсутствие доказательств того, что стоимость работ по договору за вычетом стоимости материалов заказчика составила сумму, превышающую 100 000 руб., суды пришли к выводу о наличии на стороне ответчика задолженности в размере 50 000 руб. и, руководствуясь статьями 309, 310, 702, 711, 740, 746 Гражданского кодекса Российской Федерации, удовлетворили заявленные требования в указанной части.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3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«Вант»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