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21.05.2021, оставленным без изменения постановлением Первого арбитражного апелляционного суда от 21.07.2021, в удовлетворении заявления отказано, изъятая продукция направлена на уничтожение в установленном порядке. 2 Постановлением Суда по интеллектуальным правам от 18.11.2021 указанные судебные акты оставлены без изменения. Предприниматель просит обжалуемые судебные акты отменить, считая их незаконными и необоснованными в части выводов о контрафактности изъятой продукции.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административным органом выявлен факт предложения к продаже в магазине предпринимателя товара, содержащего незаконное воспроизведение чужого товарного знака. Часть 2 статьи 14.10 Кодекса Российской Федерации об административных правонарушениях предусматривает административную ответственность за производство в целях сбыта либо реализацию товара, содержащего незаконное воспроизведение чужого товарного знака, знака обслуживания, наименования места происхождения товара или сходных с ними обозначений для однородных товаров, за исключением случаев, предусмотренных частью 2 статьи 14.33 настоящего Кодекса, если указанные действия не содержат уголовно наказуемого деяния. 3 Оценив представленные доказательства, руководствуясь положениями статей 1477, 1482, 1484, 1515 Гражданского кодекса Российской Федерации, суды пришли к выводу о наличии в действиях предпринимателя состава вмененного административного правонарушения, однако отказали в удовлетворении требования о привлечении к административной ответственности, признав, что срок привлечения к административной ответственности на момент рассмотрения дела в суде истек. При этом установив, что реализуемая предпринимателем продукция имеет признаки контрафактности, не могла быть введена в гражданский оборот на территории РФ самим правообладателем или с его согласия, суды при определении дальнейших действий с такой продукцией направили ее на уничтожение. Выводы судов не противоречат правовой позиции, изложенной в пункте 15.1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правонарушениях». Существенных недостатков протокола, исходя из разъяснений пункта 4 Постановления Пленума Верховного Суда РФ от 24.03.2005 № 5, не выявлено. В отсутствие доказательств того, что спорный товар был введен в гражданский оборот на территории РФ непосредственно правообладателем или иным лицом с его согласия, оснований не согласиться с выводами судов не имеется. Доводы о принадлежности изъятого товара иному лицу, которое привлечено к участию в деле в качестве третьего лица, сами по себе не могут служить основанием для отмены судебных актов в отсутствие жалобы такого лица относительно выводов судов о недоказанности указанного обстоятельства, и о нарушении своих прав и законных интересов.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4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