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24.11.2020, оставленным без изменения постановлением Девятого арбитражного апелляционного суда от 28.06.2021, в иске отказано. Постановлением Арбитражного суда Московского округа от 23.11.2021 указанные судебные акты оставлены без изменения. 2 В кассационной жалобе, поданной в Верховный Суд Российской Федерации, общество просит отменить состоявшиеся по делу судебные акты, полагая их незаконными, необоснованными, вынесенными без учета фактических обстоятельств и доказательств.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Правилами обязательного медицинского страхования, утвержденными приказом Минздрава России от 28.02.2019 № 108н, суды в иске отказали, признав, что в отсутствие решения комиссии о перераспределении объемов предоставления медицинской помощи отказ в оплате медицинской помощи, оказанной с превышением объемов, является правомерным. Выводы судов не противоречат правовой позиции, изложенной в определении Верховного Суда Российской Федерации от 11.11.2021 № 308-ЭС21-5947. Иное толкование обществом положений законодательства применительно к установленным фактическим обстоятельствам дела, изложенное в жалобе, не 3 является основанием для отмены обжалуемых судебных актов в порядке кассационного производства.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судебных актов в кассационном порядке, в жалобе не содержится.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