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25.02.2022 обратился в Верховный Суд Российской Федерации с жалобой на определение судьи Верховного Суда Российской Федерации от 17.12.2021 № 304-ЭС21-23750, решение Арбитражного суда Тюменской области от 29.032021, постановление Восьмого арбитражного апелляционного суда от 06.07.2021 и постановление Арбитражного суда Западно-Сибирского 2 округа от 07.10.2021 по делу № А70-18773/2020,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Доводы заявителя, обосновывающие причины пропуска рассматриваемого срока, не основаны на законодательстве, поэтому причины пропуска срока не могут быть признаны уважительными.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3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«Ишимское пассажирское автотранспортное предприятие»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