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29.04.2021, оставленным без изменения постановлением Тринадцатого арбитражного апелляционного суда от 06.07.2021 и постановлением Арбитражного суда Северо-Западного округа от 02.11.2021, в удовлетворении иска отказано. В кассационной жалобе, поданной в Верховный Суд Российской Федерации, клиника,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 аренды, руководствуясь статьями 199, 309, 310, 616, 622, 623 Гражданского кодекса Российской Федерации,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 первой и апелляционной инстанций пришли к выводу об отсутствии оснований для удовлетворения исковых требований. В частности, суды исходили из того, что ремонт арендуемого помещения, стоимость которого заявлена ко взысканию, не был надлежащим образом согласован с обществом; кроме того, при обращении в суд клиникой пропущен срок исковой давности. Суд округа поддержал выводы судов первой и апелляционной инстанций.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«Офтальмологическая клиника профессора М.М. Дронова»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