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30.04.2021, оставленным без изменения постановлением Одиннадцатого арбитражного апелляционного суда от 19.07.2021 и постановлением Арбитражного суда Поволжского округа от 11.11.2021, в удовлетворении иска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2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Как следует из судебных актов, исковые требования мотивированы тем, что в результате ненадлежащего выполнения учреждением работ по уборке и сдаче делянок в рамках договоров подряда от 28.11.2018 № 12Л, от 11.02.2019 № 2019/2 (далее – договоры) обществу причинены убытки в виде уплаченного административного штрафа и расходов на устранение недостатков выполненных работ.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по условиям договоров обязанность по уборке и сдаче делянок должна осуществляться учреждением совместно с обществом, последнее, как лицо, ответственное за соблюдение правил лесозаготовки, не представило доказательств принятия им мер к недопущению совершения административного правонарушения, как и доказательств того, что спорные нарушения выявлены на лесных участках, указанных в договорах. Суды отметили, что в период, за который руководитель общества привлечен к административной ответственности, общество не предъявляло учреждению претензии по качеству выполненных работ. При таких обстоятельствах суды признали недоказанным наличие вины учреждения, причинной связи между его действиями (бездействием) и привлечением руководителя общества к административной ответственности. Принимая во внимание отсутствие в договорах права общества на самостоятельное устранение недостатков работ, а также доказательств обращения общества к учреждению с требованием об их устранении, суды пришли к выводу о необоснованности привлечения для уборки территории стороннего лица. Исходя из установленных обстоятельств, руководствуясь статьями 15, 393, 723 Гражданского кодекса Российской Федерации, суды не усмотрели оснований для удовлетворения иска. Суд округа поддержал выводы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«ТатПромХолод»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