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19.03.2021, оставленным без изменения постановлением Пятого арбитражного апелляционного суда от 18.06.2021 и постановлением Арбитражного суда Дальневосточного округа от 11.11.2021, в удовлетворении первоначального иска отказано, встречный иск удовлетворен. В кассационной жалобе, поданной в Верховный Суд Российской Федерации, общество, ссылаясь на незаконность указанных судебных актов, просит их отменить и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2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предъявленные взаимные требования общества (заказчик) и компании (подрядчик) основаны на договоре подряда от 20.05.2020 № 05-3, о расторжении которого заказчик уведомил подрядчика претензией от 30.07.2020. Исследовав и оценив по правилам статьи 71 Арбитражного процессуального кодекса Российской Федерации представленные в материалы дела доказательства, суды первой и апелляционной инстанций установили факт выполнения компанией работ по договору и передачи их результата обществу до расторжения договора. При таких обстоятельствах, учитывая отсутствие обоснованных мотивов отказа общества от приемки работ и их оплаты, руководствуясь статьями 309, 310, 450.1, 453, 702, 708, 711, 1102 Гражданского кодекса Российской Федерации, суды пришли к выводу об отсутствии у компании обязанности по возврату обществу аванса и наличии у последнего задолженности, в связи с чем отказали в удовлетворении первоначального иска и удовлетворили встречные требования. Суд округа поддержал выводы судов первой и апелляционной инстанций.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«ЦАН»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