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07.04.2021, оставленным без изменения постановлением Тринадцатого арбитражного апелляционного суда от 23.09.2021, предприниматель привлечен к 2 административной ответственности по части 3 статьи 14.17 КоАП РФ и ему назначено наказание в виде штрафа в размере 250 000 рублей, изъятая продукция направлена на уничтожение. Арбитражный суд Северо-Западного округа постановлением от 23.12.2021 оставил без изменения указанные судебные акты. Предприниматель обратился в Верховный Суд Российской Федерации с кассационной жалобой, в которой просит отменить принятые судебные акты судов, ссылаясь на нарушения норм материального и процессуального права.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3 статьи 14.17 КоАП РФ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3 статьи 14.17 КоАП РФ, установив, что осуществляя в принадлежащем ему помещении оборот (хранение) алкогольной продукции в целях реализации в отсутствие лицензии, предприниматель сознавал противоправный характер своих действий, предвидел их последствия и сознательно их допускал либо относился к ним безразлично. Процедура и срок давности привлечения к административной ответственности соблюдены. Оснований для применения статьи 2.9 и 4.1.1 КоАП РФ не установлено. Доводы предпринимателя о неизвещении о месте и времени составления протокола об административном правонарушении и рассмотрении дела об 3 административном правонарушении были предметом исследования судов и получили исчерпывающую правовую оценку, не согласиться с которой оснований не имеется. При этом ссылка заявителя на то, что направленная ему корреспонденция не была получена в связи с тем, что по адресу: Калининградская область, пос. Прибрежный, ул. Заводская, д. 33 он никогда не был зарегистрирован и не проживал, опровергается информацией, указанной самим же предпринимателем в своей апелляционной жалобе. Доводы жалобы, в том числе относительно неосуществления предпринимательской деятельности по указанному административный органом и судами адресу, сводятся к несогласию заявителя с приведенной судами оценкой, данной фактическим обстоятельствам спора и представленным в дело доказательствам, что не свидетельствует о наличии в принятых судебных актах нарушений норм материального или процессуального права, повлиявших на исход судебного разбирательства или приведших к допущению судебной ошибки.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заявление о присуждении компенсации за нарушение права на судопроизводство в разумный срок и ходатайство о приостановлении исполнения судебных актов не подлежат рассмотрению.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