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05.05.2021, оставленным без изменения постановлением Тринадцатого арбитражного апелляционного суда от 18.08.2021 и постановлением Арбитражного суда Северо-Западного округа от 10.11.2021, в удовлетворении заявления отказано. В кассационной жалобе банк просит об отмене судебных актов, ссылаясь на неправильную оценку обстоятельств заключения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Доводам банка о нарушении очередности, созданию получателю отступного преимуществ перед другими кредиторами и значении его осведомленности о финансовом положении должника судами дана оценка применительно к статье 61.3 Федерального закона «О несостоятельности (банкротстве)». Эти доводы, продублированные в жалобе,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«Банк Оранжевый»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