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02.08.2021, оставленным без изменения постановлением Шестого арбитражного 2 апелляционного суда от 21.09.2021, оспариваемое постановление изменено в части назначенного наказания, размер штрафа снижен до 35 967,14 рублей. Постановлением Арбитражного суда Дальневосточного округа от 13.12.2021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3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судами не установлено оснований для применения положений статьи 2.9 и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Штраф снижен судом ниже низшего размера санкции нормы. 4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