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26.07.2021, оставленным без изменения постановлением Шестого арбитражного 2 апелляционного суда от 21.09.2021, оспариваемое постановление изменено в части назначенного наказания, размер штрафа снижен до 54 116,24 рублей. Постановлением Арбитражного суда Дальневосточного округа от 02.12.2021 указанные судебные акты оставлены без изменения. Предприниматель обратилась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налоговым органом факт осуществления предпринимателем расчетов с нерезидентом без использования банковского счета. Частью 1 статьи 15.25 Кодекса Российской Федерации об административных правонарушениях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3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предпринимателя состава административного правонарушения, предусмотренного частью 1 статьи 15.25 Кодекса Российской Федерации об административных правонарушениях.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Поскольку ответственность лица в рассматриваемом случае зависит от суммы незаконной операции, судами не установлено оснований для применения положений статьи 2.9 и статьи 4.1.1 Кодекса Российской Федерации об административных правонарушениях, вынесение нескольких постановлений о назначении административного наказания по результатам одной проверки не нарушило права и законные интересы предпринимателя (не повлияло на размер ответственности). Штраф снижен судом ниже низшего размера санкции нормы. 4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