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26.07.2021, оставленным без изменения постановлением Шестого арбитражного апелляционного суда от 14.09.2021, в удовлетворении требований отказано. 2 Постановлением Арбитражного суда Дальневосточного округа от 02.12.2021 указанные судебные акты оставлены без изменения. Предприниматель обратилась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налоговым органом факт осуществления предпринимателем расчетов с нерезидентом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3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предпринимателя состава административного правонарушения, предусмотренного частью 1 статьи 15.25 Кодекса Российской Федерации об административных правонарушениях. Выводы судов не противоречат правовой позиции, изложенной в определениях Конституционного Суда Российской Федерации от 20.07.2021 № 1664-О, от 27.01.2022 № 20-О. Судами установлено, что процедура и срок давности привлечения к административной ответственности соблюдены. Поскольку ответственность лица в рассматриваемом случае зависит от суммы незаконной операции, судами не установлено оснований для применения положений статьи 2.9 и статьи 4.1.1 Кодекса Российской Федерации об административных правонарушениях, вынесение нескольких постановлений о назначении административного наказания по результатам одной проверки не нарушило права и законные интересы предпринимателя (не повлияло на размер ответственности).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4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