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25.05.2021, оставленным без изменения постановлением Первого арбитражного апелляционного суда от 10.08.2021, исковые требования удовлетворены. Арбитражный суд Волго-Вятского округа постановлением от 29.10.2021 оставил без изменения указанные судебные акты. Учреждение обратилось в Верховный Суд Российской Федерации с кассационной жалобой, в которой просит отменить принятые по делу судебные акты, считая их незаконными и необоснованными. Согласно пункту 1 части 7 статьи 2916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судебных актов в кассационном порядке по доводам жалоб отсутствуют. Как следует из судебных актов, несвоевременность исполнения обязательств по оплате полученного учреждением энергетического ресурса явилось основанием для обращения общества в суд с заявленными требованиями. Оценив представленные в материалы дела доказательства в их совокупности и взаимной связи, руководствуясь положениями статей 309, 310, 322, 329, 330, 539, 544 Гражданского кодекса Российской Федерации, статьей 37 Федерального закона от 26.03.2003 № 35-ФЗ «Об электроэнергетике», учитывая разъяснения, изложенные в постановлении Пленума Высшего 3 Арбитражного Суда Российской Федерации от 22.06.2006 № 21 «О некоторых вопросах практики рассмотрения арбитражными судами споров с участием государственных и муниципальных учреждений, связанных с применением статьи 120 Гражданского кодекса Российской Федерации»,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суды пришли к выводу о наличии оснований для взыскания неустойки. Разрешая спор, суды исходили из доказанности факта поставки учреждению электрической энергии, просрочки исполнения учреждением обязательства по ее оплате, а также обязанности учреждения уплатить начисленную обществом законную неустойку, признав взыскиваемую сумму неустойки соразмерной последствиям нарушения обязательства. Доводы кассационной жалобы о необходимости снижения размера неустойки были предметом исследования судов и получили исчерпывающую правовую оценку применительно к установленным обстоятельствам, не согласиться с которой оснований не имеется. Доводы жалобы сводятся к несогласию учреждения с выводами судов и оценкой доказательств, не подтверждают существенных нарушений норм материального и (или) процессуального права, которые могли повлиять на исход дела и являться достаточным основанием для пересмотра обжалуемых судебных актов в кассационном порядке.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