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03.03.2021, оставленным без изменения постановлением Девятого арбитражного апелляционного суда от 17.05.2021 и постановлением Арбитражного суда Московского округа от 04.08.2021, в удовлетворении заявления отказано. В кассационной жалобе банк просит об отмене судебных актов, ссылаясь на искусственное придание квартире исполнительского иммунитета и заведомое намерение непогашения долга и списание его через банкротство.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 о недобросовестности должника оценен в соответствии с правомочиями суда и мотивированно признан неподтвержденным.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