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обратился в суд с заявлением о признании недействительной сделкой зачёта взаимных обязательств по заключённым между должником и Федеральным государственным унитарным предприятием «Главное военно-строительное управление по специальным объектам» (далее – предприятие) договорам от 14.09.2015 № 1509-06-СМР (СУБ), от 07.10.2015 № 1510-03-СМР (СУБ) на сумму 18 970 455 рублей 87 копеек, применении последствий её недействительности. Определением Арбитражного суда Тюменской области от 16.08.2021, оставленным без изменения постановлениями Восьмого арбитражного апелляционного суда от 29.09.20 и Арбитражного суда Западно-Сибирского округа от 30.11.2021,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61.1, 61.3, 61.4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не установили оснований для признания недействительной оспариваемой сделки, направленной на установление сальдо взаимных предоставлений по взаимосвязанным, входящим в единый проект договорам, как не повлекшей оказания предприятию предпочтения. Выводы суды соответствуют нормам права, оснований для переоценки этих выводов не имеется.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закрытым акционерным обществом «Корпорация «Кольцо» Акулинину Денису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