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Магаданской области от 16.07.2021, оставленным без изменения постановлением Шестого арбитражного апелляционного суда от 21.09.2021, в удовлетворении требований отказано. 2 Постановлением Арбитражного суда Дальневосточного округа от 13.12.2021 указанные судебные акты оставлены без изменения. Предприниматель обратилась в Верховный Суд Российской Федерации с кассационной жалобой, в которой просит состоявшиеся по делу судебные акты отменить, считая их незаконными и необоснованными.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налоговым органом факт осуществления предпринимателем расчетов с нерезидентами без использования банковского счета. Частью 1 статьи 15.25 Кодекса Российской Федерации об административных правонарушениях предусмотрена ответственность за осуществление незаконных валютных операций, то есть валютных операций, запрещенных валютным законодательством Российской Федерации или осуществленных с нарушением валютного законодательства Российской Федерации, включая куплю-продажу иностранной валюты и чеков (в том числе дорожных чеков), номинальная стоимость которых указана в иностранной 3 валюте, минуя уполномоченные банки, либо осуществление валютных операций, расчеты по которым произведены, минуя счета в уполномоченных банках или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Федерации, либо осуществление валютных операций, расчеты по которым произведены за счет средств, зачисленных на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Федерации. Оценив представленные доказательства, руководствуясь положениями Федерального закона от 10.12.2003 № 173-ФЗ «О валютном регулировании и валютном контроле», суды пришли к выводу о наличии в действиях предпринимателя состава административного правонарушения, предусмотренного частью 1 статьи 15.25 Кодекса Российской Федерации об административных правонарушениях. Выводы судов не противоречат правовой позиции, изложенной в определениях Конституционного Суда Российской Федерации от 20.07.2021 № 1664-О, от 27.01.2022 № 20-О. Судами установлено, что процедура и срок давности привлечения к административной ответственности соблюдены. Поскольку ответственность лица в рассматриваемом случае зависит от суммы незаконной операции, и судами не установлено оснований для применения положений статьи 2.9, статьи 4.1.1 Кодекса Российской Федерации об административных правонарушениях, вынесение нескольких постановлений о назначении административного наказания по результатам одной проверки не нарушило права и законные интересы предпринимателя (не повлияло на размер ответственности). Доводов, подтверждающих существенные нарушения норм материального и процессуального права, которые могли повлиять на исход дела 4 и являются достаточным основанием для пересмотра обжалуемых судебных актов в кассационном порядке, заявителем не приведено.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