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заявитель по делу – общество с ограниченной ответственностью «МодульГрупп» обратилось в суд с заявлением о взыскании с общества в его пользу судебных расходов в размере 115 000 рублей. Определением Арбитражного суда Красноярского края от 20.07.2021, оставленным без изменения постановлениями Третьего арбитражного апелляционного суда от 22.09.2021 и Арбитражного суда Восточно-Сибирского округа от 03.12.2021, с общества «Красторгснаб» в пользу общества «МодульГрупп» взысканы судебные расходы в размере 80 000 рублей.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частично удовлетворяя заявление, суды, руководствовались статьями 101, 110, 112 Арбитражного процессуального кодекса Российской Федерации, пунктом 18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пунктом 10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признали обоснованным взыскание судебных расходов с заявителя в размере, отвечающем критериям разумности, характеру и категории спора, степени сложности дела, сопоставимым с объёмом фактически оказанных услуг.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«Красторгснаб»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