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Михалевич Инна Анатольевна обратилась в суд с заявлением об истребовании у Григорьева Николая Леонидовича (далее – ответчик) оригиналов договоров, заключенных им в период исполнения обязанностей конкурсного управляющего должником, и документов, подтверждающих их исполнение; документов, подтверждающих расходы конкурсного управляющего на конкурсное производство в размере 625 213 рублей. Определением Арбитражного суда Чувашской области – Чувашии от 12.04.2021, оставленным без изменения постановлениями Первого арбитражного апелляционного суда от 08.07.2021 и Арбитражного суда Волго- Вятского округа от 01.11.2021,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126, 129 Федерального закона от 26.10.2002 № 127-ФЗ «О несостоятельности (банкротстве)», исходили из недоказанности фактического нахождения истребуемых документов именно у ответчика, передавшего их до момента прекращения производства по первому делу о банкротстве отсутствующего должника бывшему руководителю последнего. Суды также учитывали, что в рамках рассмотрения иного обособленного спора удовлетворены требования заявителя об обязании бывшего руководителя должника передать ей бухгалтерскую и иную документацию, печати, штампы, материальные и иные ценности.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«Ровена»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