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Воронина Максима Геннадьевича Абдуллина Роза Маратовна обратилась в Арбитражный суд города Москвы с заявлением о включении требования об уплате алиментов в размере 168 000 000 рублей в реестр требований кредиторов должника. Определением Арбитражного суда города Москвы от 21.06.2021 заявление удовлетворено. Постановлением Девятого арбитражного апелляционного суда от 17.08.2021 определение суда первой инстанции отменено, в удовлетворении заявления отказано. Арбитражный суд Московского округа постановлением от 03.12.2021 постановление суда апелляционной инстанции оставил без изменения. Абдуллина Роза Маратовна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 апелляционной инстанции оценил представленные доказательства по правилам статей 65, 71 Арбитражного процессуального кодекса Российской Федерации, руководствовался положениями статей 82, 103, 113 Семейного кодекса Российской Федерации, статьями 16, 213.27 Федерального закона от 26.10.2002 № 127-ФЗ «О несостоятельности (банкротстве)» и исходил из необоснованности требования по алиментным обязательствам и отсутствия у должника задолженности по уплате алиментов.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установление иных фактических обстоятельств по обособленному спору,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Абдуллиной Розе Маратовне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