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по существу судебных актов является постановление президиума Суда по интеллектуальным правам, принятое и вступившее в законную силу 11.08.2021. Заявитель 25.02.2022, то есть с пропуском установленного частью 1 статьи 291.2 АПК РФ срока, направил в Верховный Суд Российской Федерации кассационную жалобу с ходатайством о восстановлении пропущенного срока.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2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силу части 2 статьи 9 АПК РФ лица, участвующие в деле, несут риск наступления последствий совершения или не совершения ими процессуальных действий. В соответствии с разъяснениями, приведенными в пункте 33 постановления Пленума Высшего Арбитражного Суда Российской Федерации от 25.12.2013 № 99 «О процессуальных сроках», при решении вопроса о восстановлении срока на подачу апелляционной (кассационной) жалобы следует принимать во внимание, что данный срок может быть восстановлен в пределах шестимесячного срока, установленного частью 2 статьи 259 и частью 2 статьи 276 АПК РФ. Восстановление срока по истечении указанных шести месяцев не производится, если ходатайство подано участвовавшим в деле лицом, которое было извещено надлежащим образом о судебном разбирательстве в арбитражном суде первой инстанции. Поскольку на момент обращения заявителя с кассационной жалобой в Верховный Суд Российской Федерации истек предусмотренный законом предельно допустимый шестимесячный срок, в течение которого при наличии уважительных причин мог быть восстановлен срок подачи кассационной жалобы, основания для удовлетворения ходатайства отсутствуют, кассационная жалоба подлежит возврату заявителю. Руководствуясь статьями 117,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Харламова Константина Владимировича о восстановлении пропущенного процессуального срока оставить без удовлетворения. Кассационную жалобу Харламова Константина Владимировича на решение Суда по интеллектуальным правам от 15.04.2021 и постановление президиума Суда по интеллектуальным правам от 11.08.2021 по делу № СИП-995/2020 возвратить заявителю. Судья Верховного Суда Н.С. Чучунова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