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обратилась в суд с заявлениями, объединёнными в одно производство для совместного рассмотрения, о пересмотре по вновь открывшимся обстоятельствам определения Арбитражного суда Свердловской области от 28.06.2018 о признании её банкротом, введении процедуры реструктуризации долгов гражданина, включении в третью очередь реестра требований кредиторов должника залоговых требований акционерного общества «Банк Интеза» в размере 3 428 342 рубля 16 копеек. Определением Арбитражного суда Свердловской области от 21.04.2021, оставленным без изменения постановлениями Семнадцатого арбитражного апелляционного суда от 27.07.2021 и Арбитражного суда Уральского округа от 25.10.2021, заявления оставлены без удовлетворения. В кассационной жалобе, поданной в Верховный Суд Российской Федерации, заявители просят отменить названные судебные акты и направить дело на новое рассмотрение в суд первой инстанции в ином составе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заявления без удовлетворения, суды, руководствуясь статьями 309 – 312 Арбитражного процессуального кодекса Российской Федерации, пунктами 3 –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них обстоятельства не отвечали признакам существенных, новых или вновь открывшихся, способных повлиять на иные выводы суда при принятии пересматриваемого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Амелиной Надежде Николаевне, Амелиной Марии Михайловне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