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Хабаровского края от 12.07.2021 арбитражному управляющему Меньшову Константину Александровичу отказано в удовлетворении заявления о признании недействительным перечисления должником денежных средств индивидуальному предпринимателю Юрченко Анне Ивановне, применении последствий недействительности сделки. Не согласившись с данным судебным актом, заявитель обратилась с жалобой в апелляционный суд. Определением Шестого арбитражного апелляционного суда от 13.09.2021 апелляционная жалоба возвращена заявителю на основании пункта 3 части 1 статьи 264 Арбитражного процессуального кодекса Российской Федерации. Заявитель обжаловала в суд округа принятое апелляционным судом определение. Определением Арбитражного суда Дальневосточного округа от 27.10.2021, оставленным без изменения коллегиальным определением того же суда округа от 30.11.2021, кассационная жалоба возвращена заявителю на основании пункта 2 части 1 статьи 281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определения суда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заявителя и подтверждая законность такого возврата, суд округа руководствовался статьями 117, 188, 276, 281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25.12.2013 № 99 «О процессуальных сроках» и исходил из того, что она подана с пропуском установленного законом процессуального срока на кассационное обжалование судебного акта и не содержала ходатайства о его восстановлении.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«АмурПроект» Панфиловой Алисе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