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18.08.2021, оставленным без изменения постановлением Восемнадцатого арбитражного апелляционного суда от 27.09.2021, оспариваемое постановление изменено в части назначения наказания, размер административного штрафа снижен до 150 000 рублей. Арбитражный суд Уральского округа постановлением от 14.12.2021 оставил без изменения указанные судебные акты. Предприниматель обратился в Верховный Суд Российской Федерации с кассационной жалобой, в которой просит отменить принятые судебные акты судов, указывая на нарушения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в результате проведенных проверочных мероприятий административным органом установлено использование предпринимателем транспортного средства для осуществления перевозки пассажиров по регулярному маршруту при отсутствии карты маршрута регулярных перевозок. 3 Указанные обстоятельства послужили основанием для составления в отношении предпринимателя протокола об административном правонарушении, предусмотренном частью 4 статьи 11.33 КоАП РФ, и вынесения оспоренного постановления. Частью 4 статьи 11.33 КоАП РФ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Исследовав и оценив представленные в материалы дела доказательства в их совокупности и взаимосвязи, руководствуясь положениями КоАП РФ,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суды первой и апелляционной инстанций пришли к выводам о наличии в действиях предпринимателя состава вмененного административного правонарушения, с чем согласился суд округа. Признавая вину предпринимателя в совершенном правонарушении, суды исходили из того, что в материалах дела не имеется доказательств, подтверждающих принятие заявителем всех необходимых и достаточных мер, направленных на соблюдение требований законодательства, а также свидетельствующих об отсутствии у заявителя реальной возможности не допустить нарушений правил и норм, регламентирующих порядок использования транспортного средства для осуществления регулярных перевозок. Нарушений предусмотренных КоАП РФ процедуры и срока давности привлечения к административной ответственности, а также обстоятельств, свидетельствующих о малозначительности правонарушения, не установлено. Назначенный административным органом штраф уменьшен судом первой 4 инстанции в соответствии с положениями статьи 4.1 КоАП РФ, что согласуется с принципами юридической ответственности. При изложенных обстоятельствах суды пришли к выводу об отсутствии оснований для признания незаконным и отмены постановления административного органа в полном объеме. Доводы жалобы были предметом исследования судов и получили исчерпывающую правовую оценку с учетом конкретных установленных обстоятельств, свидетельствующих об использовании предпринимателем транспортного средства для осуществления регулярных перевозок пассажиров,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Таким образом,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