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2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представлены сведения налогового органа об открытых банковских счетах организации без даты. В связи с чем, невозможно определить актуальность указанных сведений на момент обращения общества с соответствующим ходатайством в Верховный Суд Российской Федерации.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«РеспектКлаб»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Москвы от 27.04.2021, постановление Девятого арбитражного апелляционного суда от 02.08.2021 и постановление Арбитражного суда Московского округа от 21.12.2021 по делу № А40-314815/2019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