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28.06.2021, оставленным без изменения постановлением Пятнадцатого арбитражного апелляционного суда от 13.08.2021, в удовлетворении требования отказано. Постановлением Арбитражного суда Северо-Кавказского округа от 12.11.2021 указанные судебные акты оставлены без изменения. 2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3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установив, что сведения о транспортной составляющей в структуре заявленной декларантом таможенной стоимости товара не основаны на количественно определяемой и документально подтвержденной информации.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При установленных судами обстоятельствах, в том числе,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