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Макаро Иван Васильевич обратился в Арбитражный суд города Москвы с иском, уточненным в порядке статьи 49 Арбитражного процессуального кодекса Российской Федерации (далее – АПК РФ), к закрытому акционерному обществу «Национальная кастодиальная компания», обществу с ограниченной ответственностью «Управляющая компания «Кастом Кэпитал» о солидарном взыскании с ответчиков 24 697 180 рублей реального ущерба – недовыплаченной денежной компенсации за 4 620 паев закрытого паевого инвестиционного рентного фонда «ВИТУС-Экопарк» (далее – Фонд), а также 16 669 056 рублей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Федеральная служба по финансовым рынкам, Макурин Андрей Николаевич, общество с ограниченной ответственностью «Международный центр оценки бизнеса». Решением Арбитражного суда города Москвы от 02.06.2021 требования удовлетворены в части солидарного взыскания с ответчиков 24 697 180 рублей ущерба; в остальной части в иске отказано. 2 Не согласившись с решением суда первой инстанции общество с ограниченной ответственностью «Профит» (далее – Общество) в порядке статьи 42 АПК РФ обратились в Девятый арбитражный апелляционный суд с апелляционной жалобой. Определением Девятого арбитражного апелляционного суда от 31.08.2021, оставленным без изменения постановлением Арбитражного суда Московского округа от 28.12.2021, производство по апелляционной жалобе Общества прекращено.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решение суда первой инстанции напрямую влияет на его права и обязанности, поскольку он является пайщиком закрытого паевого инвестиционного рентного фонда «ВИТУС- Экопарк».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Прекращая производство по апелляционной жалобе, суд апелляционной инстанции верно руководствовался положениями статьи 42 АПК РФ, согласно которым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Однако, из содержания судебных актов, предмета и оснований спора не усматривается, что обжалуемое решение принято о правах и обязанностях названного лица. Наличие у заявителя какой-либо заинтересованности в исходе дела само по себе не предоставляет ему право обжаловать судебные акты, поскольку по смыслу статьи 42 АПК РФ такое право появляется только у лица, о правах и обязанностях которого суд уже принял решение. Следовательно, Общество не является лицом, которое в силу статьи 42 АПК РФ вправе оспорить решение суда по настоящему делу. Доводы кассационной жалобы не свидетельствуют о допущенных судами нарушениях норм материального и процессуального права, которые бы служили 3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«Профит»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