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12.07.2021, оставленным без изменения постановлением Пятнадцатого арбитражного апелляционного суда от 20.09.2021, заявление Хмельницкой Л.А. признано обоснованным, в отношении должника введена процедура реструктуризации долгов, требования Хмельницкой Л.А в размере 44 484 073 рублей 84 копеек задолженности и отдельно 401 139 рублей 99 копеек финансовых санкций включены в третью очередь реестра требований кредиторов должника. Постановлением Арбитражного суда Северо-Кавказского округа от 30.11.2021 определение и постановление апелляционного суда отменены в части: в удовлетворении заявления о включении в реестр 38 129 206 рублей 14 копеек задолженности и 343 834 рублей 28 копеек финансовых санкций отказано. В кассационной жалобе Хмельницкая Л.А. просит отменить постановление окружного суда, ссылаясь на раздельный характер поручительства, предоставляющий право на включение в реестр в полном объеме исполненного обязательства и нарушение пределов рассмотрения дела.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к исследованным обстоятельствам спора статей 325, 363, 387 Гражданского кодекса Российской Федерации, пункта 15 постановления Пленума Верховного Суда Российской Федерации от 24.12.2020 № 45 «О некоторых вопросах разрешения споров о поручительстве» и пункта 53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поэтому отменил судебные акты нижестоящих инстанций в пределах имеющейся в силу статей 286, 287 Арбитражного процессуального кодекса Российской Федерации компетенции. Применение норм права осуществляется судом независимо от доводов жалобы и не попадает под понятие пределов рассмотрения дела. Иные оценка подптелем жалобы фактических обстоятельств дела и толкование норм материального права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Хмельницкой Людмиле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