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18.06.2021, оставленным без изменения постановлением Девятого арбитражного апелляционного суда от 18.08.2021 и постановлением Арбитражного суда Московского округа от 03.12.2021, договор займа от 26.12.2018, два договора займа от 30.04.2019, заключенные между должником и Строковым Д.А., признаны недействительными. В кассационной жалобе Строков Д.А. просит о пересмотре судебных актов, ссылаясь на отсутствие вреда конкурсной массе, неосведомленность о неплатежеспособности должника, неразъяснение порядка удовлетворения реституционного требования к должнику.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договоры займа заключены должником со Строковым Д.А. в нарушение запрета, следующего из пункта 5 статьи 213.25 Федерального закона от 26.10.2002 № 127-ФЗ «О несостоятельности (банкротстве)», вследствие чего являются ничтожными. Порядок удовлетворения реституционного требования разрешается при заявлении требования. Иная оценка обстоятельств совершения сделок и их последствий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Строкову Д.А.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