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февраля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Москвы от 25.05.2021, оставленным без изменения постановлением Девятого арбитражного апелляционного суда от 18.08.2021 и постановлением Арбитражного суда Московского округа от 01.11.2021, заявление ООО «Шелфер» признано обоснованным, в отношении должника введена процедура реструктуризация долгов, утвержден финансовый управляющий. В кассационной жалобе Балаболин Д.Н. просит о пересмотре судебных актов, ссылаясь на нарушение последовательности рассмотрения ходатайств и формальное рассмотрение спора.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Из содержания судебных актов следует, что ходатайство о приостановлении производства по делу рассмотрено, а оглашение принятого по нему решения одновременно с принятием судебного акта по существу спора не относится к нарушению устанавливаемой судом последовательности рассмотрения спора (статья 153 Арбитражного процессуального кодекса Российской Федерации) и не влечет кассационного пересмотра судебного акта.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Балаболину Дмитрию Николаевичу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