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07.06.2021, оставленным без изменения постановлением Пятнадцатого арбитражного апелляционного суда от 31.08.2021 и постановлением Арбитражного суда Северо-Кавказского округа от 21.11.2021, заявление удовлетворено. В кассационной жалобе Ковтун Н.Н. просит об отмене судебных актов, ссылаясь на аффилированность нового кредитора с должником и финансовым управляющим.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 Суды установили, что силу договора цессии от 22.03.2021 № 1 переход произошел в отношении включенного в реестр требования и доводы в отношении личности нового кредитора не влияют на это требование, поэтому замена соответствует статьям 382, 384, 388 Гражданского кодекса Российской Федерации. Доводы рассматриваемой жалобы получили правовую оценку судов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Ковтун Надежде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