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15.06.2021, оставленным без изменения постановлением Десятого арбитражного апелляционного суда от 09.09.2021 и постановлением Арбитражного суда Московского округа от 29.11.2021, первоначальные исковые требования удовлетворены, в удовлетворении встречного иска отказано. В кассационной жалобе, поданной в Верховный Суд Российской Федерации, общество просит отменить указанные судебные акты и направить дело на новое рассмотрение в суд первой инстанции, ссылаясь на неполное исследование судами обстоятельств, имеющих значение для правильного разрешения спора.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310, 330, 474, 486, 506, 513, 516, 518 Гражданского кодекса Российской Федерации, исходя из того, что общество (покупатель) не доказало факт поставки компанией (поставщик) товара ненадлежащего качества, который был принят покупателем, но не оплачен в полном объеме, не установив оснований для привлечения поставщика к ответственности в виде взыскания неустойки за нарушение сроков поставки товара, пришли к выводам о наличии оснований для удовлетворения первоначальных исковых требований и необоснованности встречного иска. Суд округа признал выводы судов первой и апелляционной инстанций законными и обоснованными. Доводы кассационной жалобы не опровергают приведенные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«Гелиос»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