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13.05.2021, оставленным без изменения постановлением Девятого арбитражного апелляционного суда от 04.08.2021 и постановлением Арбитражного суда Московского округа от 12.11.2021, исковые требования удовлетворены. В кассационной жалобе, поданной в Верховный Суд Российской Федерации, предприниматель, ссылаясь на незаконность указанных судебных актов, просит их отменить и направить дело на новое рассмотрение в соответствующий арбитражный суд.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2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Исследовав и оценив по правилам статьи 71 Арбитражного процессуального кодекса Российской Федерации представленные в материалы дела доказательства, установив, что общество (заказчик) во исполнение условий спорных договоров перечислило предпринимателю (исполнитель) денежные средства в заявленном размере, при этом доказательств надлежащего оказания предпринимателем услуг до одностороннего отказа от договоров не представлено, руководствуясь статьями 309, 310, 395, 450.1, 453, 779, 781, 1102 Гражданского кодекса Российской Федерации, суды первой и апелляционной инстанций пришли к выводу о наличии оснований для удовлетворения исковых требований, с чем впоследствии согласился суд округа. Доводы кассационной жалобы не опровергают выводы судов, не подтверждают существенных нарушений судами норм материального и процессуального права, повлиявших на исход дела, и не являются достаточным основанием для пересмотра обжалуемых судебных актов в кассационном порядке. По существу они направлены на переоценку установленных фактических обстоятельств, что не входит в полномочия суда при кассационном производстве. Принимая во внимание изложенное 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Волкова Ильи Владимировича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