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19.03.2021, оставленным без изменения постановлением Пятнадцатого арбитражного апелляционного суда от 05.06.2021 и постановлением Арбитражного суда Северо-Кавказского округа от 02.11.2021, с общества в пользу союза взыскано 2 1 845 637 руб. задолженности, 19 200 руб. судебных расходов по уплате государственной пошлины. С общества в доход федерального бюджета взыскано 12 256 руб. государственной пошлины. С компании в пользу общества взыскано 446 290 руб. 02 коп. пеней и 102 000 руб. судебных расходов по уплате государственной пошлины, в удовлетворении остальной части требований общества отказано. С союза в пользу общества взыскано 131 720 руб. судебных расходов по оплате судебной экспертизы. В результате зачета взысканных сумм с общества в пользу союза взыскано 1 733 117 руб. С третьего лица в пользу общества с ограниченной ответственностью «Новая экспертиза» взыскано 20 000 руб. расходов.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союза предъявлены на основании договора уступки от 15.01.2019, заключенного с компанией, согласно условиям которого последняя уступила союзу право требования к обществу, основанное на договоре строительного подряда от 26.03.2018 № 4 (далее – договор). Требования общества мотивированы тем, что работы по договору компанией в установленный срок и в полном объеме не выполнены. Разрешая спор, суды первой и апелляционной инстанций руководствовались статьями 309, 310, 330, 421, 702, 708, 711, 740, 746, 753 Гражданского кодекса Российской Федерации. Исследовав и оценив в порядке статьи 71 Арбитражного процессуального кодекса Российской Федерации представленные в материалы дела доказательства, в том числе заключение судебной строительно-технической экспертизы, дополнительные пояснения экспертов, установив объем и стоимость качественно выполненных компанией работ, суды пришли к выводу о наличии у общества задолженности в заявленном союзом размере. Исходя из доказанности факта нарушения компанией срока выполнения работ, суды сочли обоснованным начисление обществом неустойки. Вместе с тем, проверив представленный обществом расчет и признав его арифметически неверным, суды произвели самостоятельный перерасчет 3 и, указав на несоразмерность неустойки последствиям нарушения обязательства, снизили ее размер на основании статьи 333 Гражданского кодекса Российской Федерации до 446 290 руб. 02 коп. Суд округа поддержал выводы судов первой и апелляционной инстанций. Довод заявителя о необоснованном применении судом первой инстанции положений статьи 333 Гражданского кодекса Российской Федерации приводился в судах апелляционной и кассационной инстанций, был рассмотрен судами и отклонен. Изложенные в кассационной жалобе доводы не свидетельствуют о наличии существенных нарушений норм материального и (или) процессуального права, повлиявших на исход дела, в связи с чем жалоба не подлежит передаче на рассмотрение судебной коллегии.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«Федералстройгрупп»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