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22.04.2021, оставленным без изменения постановлением Девятого арбитражного апелляционного суда от 27.07.2021 и постановлением Арбитражного суда Московского округа от 28.10.2021, иск удовлетворен. В кассационной жалобе общество «ТЭС-терминал-1» просит об отмене судебных актов, ссылаясь на отсутствие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Обстоятельства, составляющие необходимые в силу статей 15, 393 Гражданского кодекса Российской Федерации условия для взыскания убытков и влияющие на их размер, установлены судами в соответствии с компетенцией, и иная их оценка заявителем не отвечает критериям оснований для кассационного пересмотра судебных актов. Отсутствие преюдиции судебного акта по ранее рассмотренному делу мотивировано апелляционным судом.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«ТЭС-терминал-1»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