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13.10.2020 в удовлетворении иска отказано. Тринадцатый арбитражный апелляционный суд перешел к рассмотрению дела по правилам для суда первой инстанции и постановлением от 02.08.2021 отменил решение от 13.10.2020, отказав в удовлетворении иска. Арбитражный суд Северо-Западного округа постановлением от 18.11.2021 постановление Тринадцатого арбитражного апелляционного суда от 02.08.2021 оставил без изменения. В кассационной жалобе общество «НефтеПродуктСервис» просит об отмене судебных актов апелляционного и окружного судов, ссылаясь на принятие ненадлежащих доказательств, неправомерность одностороннего зачета и неправильное применение исковой давности.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обоснование недостач нефтепродуктов ответчиком представлены акты, подписанные водителями истца, поэтому отсутствие ссылок на акты в транспортных накладных признано не лишающим их доказательной силы. Уменьшение ответчиком оплаты услуг признано правомерным по итогу проверки апелляционным судом обоснованности недостач. На предмет соответствия статье 410 Гражданского кодекса Российской Федерации уменьшение платежа не проверялось. Срок исковой давности по требованию о признании условий договора недействительными определен в соответствии с пунктом 2 статьи 181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«НефтеПродуктСервис»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